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media/image3.png" ContentType="image/png"/>
  <Override PartName="/word/media/image4.png" ContentType="image/png"/>
  <Override PartName="/word/media/image5.png" ContentType="image/png"/>
  <Override PartName="/word/media/image6.png" ContentType="image/png"/>
  <Override PartName="/word/media/image7.png" ContentType="image/png"/>
  <Override PartName="/word/media/image8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yleHeading116ptLeft"/>
        <w:tabs>
          <w:tab w:val="clear" w:pos="708"/>
          <w:tab w:val="left" w:pos="540" w:leader="none"/>
        </w:tabs>
        <w:spacing w:before="240" w:after="120"/>
        <w:ind w:left="0" w:hanging="0"/>
        <w:jc w:val="center"/>
        <w:rPr/>
      </w:pPr>
      <w:bookmarkStart w:id="0" w:name="_Toc283892956"/>
      <w:r>
        <w:rPr/>
        <w:t xml:space="preserve">Порядок инсталляции клиентской части АС </w:t>
      </w:r>
      <w:bookmarkEnd w:id="0"/>
      <w:r>
        <w:rPr>
          <w:lang w:val="en-US"/>
        </w:rPr>
        <w:t>Dealing</w:t>
      </w:r>
      <w:r>
        <w:rPr/>
        <w:t xml:space="preserve"> </w:t>
      </w:r>
      <w:r>
        <w:rPr>
          <w:lang w:val="en-US"/>
        </w:rPr>
        <w:t>Manager</w:t>
      </w:r>
    </w:p>
    <w:p>
      <w:pPr>
        <w:pStyle w:val="Normal"/>
        <w:rPr/>
      </w:pPr>
      <w:r>
        <w:rPr/>
      </w:r>
    </w:p>
    <w:p>
      <w:pPr>
        <w:pStyle w:val="Normal"/>
        <w:jc w:val="both"/>
        <w:rPr/>
      </w:pPr>
      <w:r>
        <w:rPr/>
        <w:t>Требования к рабочей станции: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720" w:leader="none"/>
        </w:tabs>
        <w:spacing w:before="60" w:after="0"/>
        <w:ind w:left="714" w:hanging="357"/>
        <w:jc w:val="both"/>
        <w:rPr/>
      </w:pPr>
      <w:r>
        <w:rPr/>
        <w:t>Операционная система Microsoft Windows 10 (</w:t>
      </w:r>
      <w:r>
        <w:rPr>
          <w:lang w:val="en-US"/>
        </w:rPr>
        <w:t>x</w:t>
      </w:r>
      <w:r>
        <w:rPr/>
        <w:t xml:space="preserve">86 или </w:t>
      </w:r>
      <w:r>
        <w:rPr>
          <w:lang w:val="en-US"/>
        </w:rPr>
        <w:t>x</w:t>
      </w:r>
      <w:r>
        <w:rPr/>
        <w:t>64) и выше.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720" w:leader="none"/>
        </w:tabs>
        <w:spacing w:before="60" w:after="0"/>
        <w:ind w:left="714" w:hanging="357"/>
        <w:jc w:val="both"/>
        <w:rPr/>
      </w:pPr>
      <w:r>
        <w:rPr/>
        <w:t>Объем оперативной памяти не менее 2 гб (рекомендовано 4 гб и выше).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  <w:t>Предустановленные компоненты: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720" w:leader="none"/>
        </w:tabs>
        <w:spacing w:before="60" w:after="0"/>
        <w:ind w:left="714" w:hanging="357"/>
        <w:jc w:val="both"/>
        <w:rPr/>
      </w:pPr>
      <w:r>
        <w:rPr>
          <w:lang w:val="en-US"/>
        </w:rPr>
        <w:t>MS</w:t>
      </w:r>
      <w:r>
        <w:rPr/>
        <w:t xml:space="preserve"> </w:t>
      </w:r>
      <w:r>
        <w:rPr>
          <w:lang w:val="en-US"/>
        </w:rPr>
        <w:t>Office</w:t>
      </w:r>
      <w:r>
        <w:rPr/>
        <w:t xml:space="preserve"> 2007 и выше для печати и просмотра печатных форм отчетов.</w:t>
      </w:r>
    </w:p>
    <w:p>
      <w:pPr>
        <w:pStyle w:val="Normal"/>
        <w:jc w:val="both"/>
        <w:rPr>
          <w:lang w:val="en-US"/>
        </w:rPr>
      </w:pPr>
      <w:r>
        <w:rPr/>
        <w:t>Установка</w:t>
      </w:r>
      <w:r>
        <w:rPr>
          <w:lang w:val="en-US"/>
        </w:rPr>
        <w:t xml:space="preserve"> Dealing Manager Run-Time Platform: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720" w:leader="none"/>
        </w:tabs>
        <w:spacing w:before="60" w:after="0"/>
        <w:ind w:left="714" w:hanging="357"/>
        <w:jc w:val="both"/>
        <w:rPr/>
      </w:pPr>
      <w:r>
        <w:rPr/>
        <w:t xml:space="preserve">Устанавливается платформа, </w:t>
      </w:r>
      <w:hyperlink r:id="rId2">
        <w:r>
          <w:rPr>
            <w:lang w:val="en-US"/>
          </w:rPr>
          <w:t>DealingManagerPlatform</w:t>
        </w:r>
        <w:r>
          <w:rPr/>
          <w:t>.</w:t>
        </w:r>
        <w:r>
          <w:rPr>
            <w:lang w:val="en-US"/>
          </w:rPr>
          <w:t>msi</w:t>
        </w:r>
      </w:hyperlink>
      <w:r>
        <w:rPr/>
        <w:t xml:space="preserve"> (ссылка для скачивания с сайта производителя).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  <w:t>Установка клиента: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720" w:leader="none"/>
        </w:tabs>
        <w:spacing w:before="60" w:after="0"/>
        <w:ind w:left="714" w:hanging="357"/>
        <w:jc w:val="both"/>
        <w:rPr/>
      </w:pPr>
      <w:r>
        <w:rPr/>
        <w:t xml:space="preserve">Устанавливается клиент, </w:t>
      </w:r>
      <w:hyperlink r:id="rId3">
        <w:r>
          <w:rPr/>
          <w:t>DM2009Setup.msi</w:t>
        </w:r>
      </w:hyperlink>
      <w:r>
        <w:rPr/>
        <w:t xml:space="preserve"> (ссылка для скачивания с сайта производителя).</w:t>
      </w:r>
    </w:p>
    <w:p>
      <w:pPr>
        <w:pStyle w:val="Normal"/>
        <w:rPr/>
      </w:pPr>
      <w:r>
        <w:rPr/>
      </w:r>
    </w:p>
    <w:p>
      <w:pPr>
        <w:pStyle w:val="Normal"/>
        <w:jc w:val="both"/>
        <w:rPr/>
      </w:pPr>
      <w:r>
        <w:rPr/>
        <w:t>Для обеспечения логирования работы приложения, дискового кеширования описания интерфейсов (экономия сетевого трафика и ускорение процесса загрузки приложений) и хранения временных шаблонов печати для ранних версий платформы может потребоваться доступ Read/Write/Create в папке установки Dealing Manager Run-Time Platform (System Root\Program Files\Common Files\Dealing Common).</w:t>
      </w:r>
    </w:p>
    <w:p>
      <w:pPr>
        <w:pStyle w:val="Normal"/>
        <w:rPr/>
      </w:pPr>
      <w:r>
        <w:rPr/>
      </w:r>
    </w:p>
    <w:p>
      <w:pPr>
        <w:pStyle w:val="Normal"/>
        <w:jc w:val="both"/>
        <w:rPr/>
      </w:pPr>
      <w:r>
        <w:rPr/>
        <w:t xml:space="preserve">Примечание: В работе Dealing Manager Run-Time Platform участвуют интерфейсные компоненты, разработанные Janus Systems, Infragistics, Stemma Software, Innovasys, FarPoint Technologies и т.д. (список разработчиков постоянно пополняется), поэтому, при установке приложений, Setup которых изготовлен некорректно (без учета версии инсталлируемых компонентов), клиентское приложение </w:t>
      </w:r>
      <w:r>
        <w:rPr>
          <w:lang w:val="en-US"/>
        </w:rPr>
        <w:t>Dealing</w:t>
      </w:r>
      <w:r>
        <w:rPr/>
        <w:t xml:space="preserve"> </w:t>
      </w:r>
      <w:r>
        <w:rPr>
          <w:lang w:val="en-US"/>
        </w:rPr>
        <w:t>Manager</w:t>
      </w:r>
      <w:r>
        <w:rPr/>
        <w:t xml:space="preserve"> может работать некорректно, либо не работать вовсе. В 90% таких случаев достаточно переустановить </w:t>
      </w:r>
      <w:r>
        <w:rPr>
          <w:lang w:val="en-US"/>
        </w:rPr>
        <w:t>Dealing</w:t>
      </w:r>
      <w:r>
        <w:rPr/>
        <w:t xml:space="preserve"> </w:t>
      </w:r>
      <w:r>
        <w:rPr>
          <w:lang w:val="en-US"/>
        </w:rPr>
        <w:t>Manager</w:t>
      </w:r>
      <w:r>
        <w:rPr/>
        <w:t xml:space="preserve"> </w:t>
      </w:r>
      <w:r>
        <w:rPr>
          <w:lang w:val="en-US"/>
        </w:rPr>
        <w:t>Run</w:t>
      </w:r>
      <w:r>
        <w:rPr/>
        <w:t>-</w:t>
      </w:r>
      <w:r>
        <w:rPr>
          <w:lang w:val="en-US"/>
        </w:rPr>
        <w:t>Time</w:t>
      </w:r>
      <w:r>
        <w:rPr/>
        <w:t xml:space="preserve"> </w:t>
      </w:r>
      <w:r>
        <w:rPr>
          <w:lang w:val="en-US"/>
        </w:rPr>
        <w:t>Platform</w:t>
      </w:r>
      <w:r>
        <w:rPr/>
        <w:t>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Установка платформы предельно проста и не содержит дополнительных настроек, необходимо только следовать подсказкам:</w:t>
      </w:r>
    </w:p>
    <w:p>
      <w:pPr>
        <w:pStyle w:val="Normal"/>
        <w:jc w:val="center"/>
        <w:rPr/>
      </w:pPr>
      <w:r>
        <w:rPr/>
        <w:drawing>
          <wp:inline distT="0" distB="0" distL="0" distR="0">
            <wp:extent cx="4752975" cy="3895725"/>
            <wp:effectExtent l="0" t="0" r="0" b="0"/>
            <wp:docPr id="1" name="Picture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389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jc w:val="center"/>
        <w:rPr/>
      </w:pPr>
      <w:r>
        <w:rPr/>
        <w:drawing>
          <wp:inline distT="0" distB="0" distL="0" distR="0">
            <wp:extent cx="4752975" cy="3895725"/>
            <wp:effectExtent l="0" t="0" r="0" b="0"/>
            <wp:docPr id="2" name="Picture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389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/>
      </w:pPr>
      <w:r>
        <w:rPr/>
        <w:t>Установка непосредственно клиента позволяет выбрать место расположения исполняемого файла клиента:</w:t>
      </w:r>
    </w:p>
    <w:p>
      <w:pPr>
        <w:pStyle w:val="Normal"/>
        <w:jc w:val="center"/>
        <w:rPr/>
      </w:pPr>
      <w:r>
        <w:rPr/>
        <w:drawing>
          <wp:inline distT="0" distB="0" distL="0" distR="0">
            <wp:extent cx="4752975" cy="3895725"/>
            <wp:effectExtent l="0" t="0" r="0" b="0"/>
            <wp:docPr id="3" name="Picture 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389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jc w:val="center"/>
        <w:rPr/>
      </w:pPr>
      <w:r>
        <w:rPr/>
        <w:drawing>
          <wp:inline distT="0" distB="0" distL="0" distR="0">
            <wp:extent cx="4752975" cy="3895725"/>
            <wp:effectExtent l="0" t="0" r="0" b="0"/>
            <wp:docPr id="4" name="Picture 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389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jc w:val="center"/>
        <w:rPr/>
      </w:pPr>
      <w:r>
        <w:rPr/>
        <w:drawing>
          <wp:inline distT="0" distB="0" distL="0" distR="0">
            <wp:extent cx="4752975" cy="3895725"/>
            <wp:effectExtent l="0" t="0" r="0" b="0"/>
            <wp:docPr id="5" name="Picture 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389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jc w:val="center"/>
        <w:rPr/>
      </w:pPr>
      <w:r>
        <w:rPr/>
      </w:r>
    </w:p>
    <w:p>
      <w:pPr>
        <w:pStyle w:val="Normal"/>
        <w:keepNext w:val="true"/>
        <w:rPr/>
      </w:pPr>
      <w:r>
        <w:rPr/>
        <w:t xml:space="preserve">Деинсталляция платформы и клиента производится стандартным способом, через панель управления </w:t>
      </w:r>
      <w:r>
        <w:rPr>
          <w:lang w:val="en-US"/>
        </w:rPr>
        <w:t>Windows</w:t>
      </w:r>
      <w:r>
        <w:rPr/>
        <w:t>.</w:t>
      </w:r>
    </w:p>
    <w:p>
      <w:pPr>
        <w:pStyle w:val="Normal"/>
        <w:rPr/>
      </w:pPr>
      <w:r>
        <w:rPr/>
        <w:drawing>
          <wp:inline distT="0" distB="0" distL="0" distR="0">
            <wp:extent cx="6637020" cy="3279140"/>
            <wp:effectExtent l="0" t="0" r="0" b="0"/>
            <wp:docPr id="6" name="Picture 7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7" descr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7020" cy="3279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/>
      </w:pPr>
      <w:r>
        <w:rPr/>
      </w:r>
    </w:p>
    <w:p>
      <w:pPr>
        <w:pStyle w:val="Normal"/>
        <w:rPr>
          <w:lang w:val="ru-RU"/>
        </w:rPr>
      </w:pPr>
      <w:r>
        <w:rPr>
          <w:lang w:val="ru-RU"/>
        </w:rPr>
        <w:t>После установки клиентского приложения на рабочем столе (</w:t>
      </w:r>
      <w:r>
        <w:rPr>
          <w:lang w:val="en-US"/>
        </w:rPr>
        <w:t>desktop</w:t>
      </w:r>
      <w:r>
        <w:rPr>
          <w:lang w:val="ru-RU"/>
        </w:rPr>
        <w:t xml:space="preserve">) будет помещена иконка запуска </w:t>
      </w:r>
      <w:r>
        <w:rPr>
          <w:lang w:val="en-US"/>
        </w:rPr>
        <w:t>Dealing Manager.</w:t>
      </w:r>
    </w:p>
    <w:p>
      <w:pPr>
        <w:pStyle w:val="Normal"/>
        <w:jc w:val="center"/>
        <w:rPr>
          <w:lang w:val="ru-RU"/>
        </w:rPr>
      </w:pPr>
      <w:r>
        <w:rPr/>
        <w:drawing>
          <wp:inline distT="0" distB="0" distL="0" distR="0">
            <wp:extent cx="541020" cy="853440"/>
            <wp:effectExtent l="0" t="0" r="0" b="0"/>
            <wp:docPr id="7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853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>
          <w:lang w:val="ru-RU"/>
        </w:rPr>
      </w:pPr>
      <w:r>
        <w:rPr>
          <w:lang w:val="ru-RU"/>
        </w:rPr>
        <w:t>После запуска приложения необходимо ввести параметры соединения:</w:t>
      </w:r>
    </w:p>
    <w:p>
      <w:pPr>
        <w:pStyle w:val="Normal"/>
        <w:jc w:val="center"/>
        <w:rPr>
          <w:lang w:val="ru-RU"/>
        </w:rPr>
      </w:pPr>
      <w:r>
        <w:rPr/>
        <w:drawing>
          <wp:inline distT="0" distB="0" distL="0" distR="0">
            <wp:extent cx="2628900" cy="2674620"/>
            <wp:effectExtent l="0" t="0" r="0" b="0"/>
            <wp:docPr id="8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2674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jc w:val="left"/>
        <w:rPr/>
      </w:pPr>
      <w:r>
        <w:rPr>
          <w:lang w:val="ru-RU"/>
        </w:rPr>
        <w:t>Пароль, для тестового пользователя, как правило «111». Доступ можно получить только со статического IP адреса. Запрос на получение тестового доступа необходимо согласовать по электронной почте, адрес info@dealing.ru. В запросе должен быть указан Ваш IP адрес, в ответ Вы получите IP адрес для подключения, а также имя пользователя и его пароль (если они не стандартные).</w:t>
      </w:r>
    </w:p>
    <w:p>
      <w:pPr>
        <w:pStyle w:val="Normal"/>
        <w:jc w:val="left"/>
        <w:rPr/>
      </w:pPr>
      <w:r>
        <w:rPr/>
      </w:r>
    </w:p>
    <w:p>
      <w:pPr>
        <w:pStyle w:val="Normal"/>
        <w:jc w:val="left"/>
        <w:rPr/>
      </w:pPr>
      <w:r>
        <w:rPr/>
        <w:t>Настройка сети на стороне тестирующего возлагается на местных администраторов, достаточно открыть порт 1433 для нашего сервера.</w:t>
      </w:r>
    </w:p>
    <w:p>
      <w:pPr>
        <w:pStyle w:val="Normal"/>
        <w:jc w:val="left"/>
        <w:rPr/>
      </w:pPr>
      <w:r>
        <w:rPr/>
      </w:r>
    </w:p>
    <w:p>
      <w:pPr>
        <w:pStyle w:val="Normal"/>
        <w:jc w:val="left"/>
        <w:rPr/>
      </w:pPr>
      <w:r>
        <w:rPr/>
        <w:t xml:space="preserve">Указанный тестовый пользователь имеет роль Advanced </w:t>
      </w:r>
      <w:r>
        <w:rPr>
          <w:lang w:val="en-US" w:eastAsia="ru-RU" w:bidi="ar-SA"/>
        </w:rPr>
        <w:t>Dealer</w:t>
      </w:r>
      <w:r>
        <w:rPr/>
        <w:t xml:space="preserve"> с доступом ко всем основным финансовым справочникам и отчетам. Права могут быть расширены по запросу.</w:t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Calibri Light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val="bestFit" w:percent="127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44bf6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next w:val="Normal"/>
    <w:link w:val="Heading1Char"/>
    <w:uiPriority w:val="9"/>
    <w:qFormat/>
    <w:rsid w:val="00a44bf6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uiPriority w:val="9"/>
    <w:qFormat/>
    <w:rsid w:val="00a44bf6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  <w:lang w:eastAsia="ru-RU"/>
    </w:rPr>
  </w:style>
  <w:style w:type="character" w:styleId="Style13">
    <w:name w:val="Hyperlink"/>
    <w:basedOn w:val="DefaultParagraphFont"/>
    <w:uiPriority w:val="99"/>
    <w:unhideWhenUsed/>
    <w:rsid w:val="00a716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a7167f"/>
    <w:rPr>
      <w:color w:val="605E5C"/>
      <w:shd w:fill="E1DFDD" w:val="clear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  <w:lang w:val="zxx" w:eastAsia="zxx" w:bidi="zxx"/>
    </w:rPr>
  </w:style>
  <w:style w:type="paragraph" w:styleId="StyleHeading116ptLeft" w:customStyle="1">
    <w:name w:val="Style Heading 1 + 16 pt Left"/>
    <w:basedOn w:val="1"/>
    <w:qFormat/>
    <w:rsid w:val="00a44bf6"/>
    <w:pPr>
      <w:keepLines w:val="false"/>
      <w:pageBreakBefore/>
      <w:spacing w:before="240" w:after="120"/>
      <w:ind w:left="357" w:hanging="0"/>
    </w:pPr>
    <w:rPr>
      <w:rFonts w:ascii="Times New Roman" w:hAnsi="Times New Roman" w:eastAsia="Times New Roman" w:cs="Times New Roman"/>
      <w:b/>
      <w:bCs/>
      <w:color w:val="auto"/>
      <w:szCs w:val="20"/>
      <w:lang w:eastAsia="en-U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dealing.ru/downloads/DealingManagerPlatform_15_08_2022.msi" TargetMode="External"/><Relationship Id="rId3" Type="http://schemas.openxmlformats.org/officeDocument/2006/relationships/hyperlink" Target="http://www.dealing.ru/downloads/DM2009Setup(9_02).msi" TargetMode="External"/><Relationship Id="rId4" Type="http://schemas.openxmlformats.org/officeDocument/2006/relationships/image" Target="media/image1.png"/><Relationship Id="rId5" Type="http://schemas.openxmlformats.org/officeDocument/2006/relationships/image" Target="media/image2.png"/><Relationship Id="rId6" Type="http://schemas.openxmlformats.org/officeDocument/2006/relationships/image" Target="media/image3.png"/><Relationship Id="rId7" Type="http://schemas.openxmlformats.org/officeDocument/2006/relationships/image" Target="media/image4.png"/><Relationship Id="rId8" Type="http://schemas.openxmlformats.org/officeDocument/2006/relationships/image" Target="media/image5.png"/><Relationship Id="rId9" Type="http://schemas.openxmlformats.org/officeDocument/2006/relationships/image" Target="media/image6.png"/><Relationship Id="rId10" Type="http://schemas.openxmlformats.org/officeDocument/2006/relationships/image" Target="media/image7.png"/><Relationship Id="rId11" Type="http://schemas.openxmlformats.org/officeDocument/2006/relationships/image" Target="media/image8.png"/><Relationship Id="rId12" Type="http://schemas.openxmlformats.org/officeDocument/2006/relationships/numbering" Target="numbering.xml"/><Relationship Id="rId13" Type="http://schemas.openxmlformats.org/officeDocument/2006/relationships/fontTable" Target="fontTable.xml"/><Relationship Id="rId14" Type="http://schemas.openxmlformats.org/officeDocument/2006/relationships/settings" Target="settings.xml"/><Relationship Id="rId1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Application>LibreOffice/7.4.3.2$Windows_X86_64 LibreOffice_project/1048a8393ae2eeec98dff31b5c133c5f1d08b890</Application>
  <AppVersion>15.0000</AppVersion>
  <Pages>5</Pages>
  <Words>325</Words>
  <Characters>2312</Characters>
  <CharactersWithSpaces>2612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2022-09-16T06:23:00Z</dcterms:created>
  <dc:creator>Vycheslav V. Popov</dc:creator>
  <dc:description/>
  <dc:language>ru-RU</dc:language>
  <cp:lastModifiedBy/>
  <dcterms:modified xsi:type="dcterms:W3CDTF">2022-12-07T11:47:03Z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